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F62B" w14:textId="77777777" w:rsidR="00E44075" w:rsidRDefault="00000000">
      <w:pPr>
        <w:spacing w:before="17"/>
        <w:ind w:left="2079" w:right="2045"/>
        <w:jc w:val="center"/>
        <w:rPr>
          <w:b/>
          <w:sz w:val="36"/>
        </w:rPr>
      </w:pPr>
      <w:r>
        <w:rPr>
          <w:b/>
          <w:sz w:val="36"/>
        </w:rPr>
        <w:t>&lt;</w:t>
      </w:r>
      <w:r>
        <w:rPr>
          <w:i/>
          <w:color w:val="6F2F9F"/>
          <w:sz w:val="36"/>
        </w:rPr>
        <w:t>insert trial title</w:t>
      </w:r>
      <w:r>
        <w:rPr>
          <w:b/>
          <w:sz w:val="36"/>
        </w:rPr>
        <w:t>&gt;</w:t>
      </w:r>
    </w:p>
    <w:p w14:paraId="10778785" w14:textId="77777777" w:rsidR="00E44075" w:rsidRDefault="00000000">
      <w:pPr>
        <w:spacing w:before="127" w:line="309" w:lineRule="auto"/>
        <w:ind w:left="2085" w:right="2045"/>
        <w:jc w:val="center"/>
        <w:rPr>
          <w:b/>
          <w:sz w:val="36"/>
        </w:rPr>
      </w:pPr>
      <w:r>
        <w:rPr>
          <w:b/>
          <w:sz w:val="36"/>
        </w:rPr>
        <w:t>Data Safety Monitoring Board (DSMB) MEETING AGENDA</w:t>
      </w:r>
    </w:p>
    <w:p w14:paraId="5496C01F" w14:textId="77777777" w:rsidR="00E44075" w:rsidRDefault="00000000">
      <w:pPr>
        <w:spacing w:line="262" w:lineRule="exact"/>
        <w:ind w:left="2081" w:right="2045"/>
        <w:jc w:val="center"/>
        <w:rPr>
          <w:i/>
        </w:rPr>
      </w:pPr>
      <w:r>
        <w:rPr>
          <w:i/>
          <w:color w:val="6F2F9F"/>
        </w:rPr>
        <w:t>&lt;insert MEETING DATE, TIME &amp; VENUE&gt;</w:t>
      </w:r>
    </w:p>
    <w:p w14:paraId="3655580E" w14:textId="77777777" w:rsidR="00E44075" w:rsidRDefault="00E44075">
      <w:pPr>
        <w:pStyle w:val="BodyText"/>
        <w:spacing w:before="1"/>
        <w:rPr>
          <w:sz w:val="18"/>
        </w:rPr>
      </w:pPr>
    </w:p>
    <w:p w14:paraId="031FCF0E" w14:textId="77777777" w:rsidR="00E44075" w:rsidRDefault="00000000">
      <w:pPr>
        <w:ind w:left="112"/>
        <w:rPr>
          <w:b/>
          <w:sz w:val="24"/>
        </w:rPr>
      </w:pPr>
      <w:r>
        <w:rPr>
          <w:b/>
          <w:sz w:val="24"/>
        </w:rPr>
        <w:t>Attendees:</w:t>
      </w:r>
    </w:p>
    <w:p w14:paraId="765707E0" w14:textId="77777777" w:rsidR="00E44075" w:rsidRDefault="00000000">
      <w:pPr>
        <w:pStyle w:val="ListParagraph"/>
        <w:numPr>
          <w:ilvl w:val="0"/>
          <w:numId w:val="2"/>
        </w:numPr>
        <w:tabs>
          <w:tab w:val="left" w:pos="832"/>
          <w:tab w:val="left" w:pos="833"/>
        </w:tabs>
        <w:spacing w:before="120"/>
      </w:pPr>
      <w:r>
        <w:t>Voting</w:t>
      </w:r>
      <w:r>
        <w:rPr>
          <w:spacing w:val="-3"/>
        </w:rPr>
        <w:t xml:space="preserve"> </w:t>
      </w:r>
      <w:r>
        <w:t>members</w:t>
      </w:r>
    </w:p>
    <w:p w14:paraId="03D61AA3" w14:textId="77777777" w:rsidR="00E44075" w:rsidRDefault="00000000">
      <w:pPr>
        <w:pStyle w:val="ListParagraph"/>
        <w:numPr>
          <w:ilvl w:val="0"/>
          <w:numId w:val="2"/>
        </w:numPr>
        <w:tabs>
          <w:tab w:val="left" w:pos="833"/>
          <w:tab w:val="left" w:pos="834"/>
        </w:tabs>
        <w:spacing w:before="42"/>
        <w:ind w:left="833"/>
      </w:pPr>
      <w:r>
        <w:t>Non-Voting</w:t>
      </w:r>
      <w:r>
        <w:rPr>
          <w:spacing w:val="-3"/>
        </w:rPr>
        <w:t xml:space="preserve"> </w:t>
      </w:r>
      <w:r>
        <w:t>members</w:t>
      </w:r>
    </w:p>
    <w:p w14:paraId="47C885CE" w14:textId="77777777" w:rsidR="00E44075" w:rsidRDefault="00000000">
      <w:pPr>
        <w:pStyle w:val="ListParagraph"/>
        <w:numPr>
          <w:ilvl w:val="0"/>
          <w:numId w:val="2"/>
        </w:numPr>
        <w:tabs>
          <w:tab w:val="left" w:pos="833"/>
          <w:tab w:val="left" w:pos="834"/>
        </w:tabs>
        <w:spacing w:before="39"/>
        <w:ind w:left="833"/>
      </w:pPr>
      <w:r>
        <w:t>Quorum - Determine whether DSMB member attendance meets</w:t>
      </w:r>
      <w:r>
        <w:rPr>
          <w:spacing w:val="-11"/>
        </w:rPr>
        <w:t xml:space="preserve"> </w:t>
      </w:r>
      <w:r>
        <w:t>quorum</w:t>
      </w:r>
    </w:p>
    <w:p w14:paraId="72C1F837" w14:textId="77777777" w:rsidR="00E44075" w:rsidRDefault="00000000">
      <w:pPr>
        <w:spacing w:before="161"/>
        <w:ind w:left="112"/>
        <w:rPr>
          <w:b/>
          <w:sz w:val="24"/>
        </w:rPr>
      </w:pPr>
      <w:r>
        <w:rPr>
          <w:b/>
          <w:sz w:val="24"/>
        </w:rPr>
        <w:t>Apologies:</w:t>
      </w:r>
    </w:p>
    <w:p w14:paraId="165C41A8" w14:textId="77777777" w:rsidR="00E44075" w:rsidRDefault="00E44075">
      <w:pPr>
        <w:pStyle w:val="BodyText"/>
        <w:spacing w:before="2"/>
        <w:rPr>
          <w:b/>
          <w:i w:val="0"/>
          <w:sz w:val="23"/>
        </w:rPr>
      </w:pPr>
    </w:p>
    <w:p w14:paraId="6C4F7E41" w14:textId="77777777" w:rsidR="00E44075" w:rsidRDefault="00000000">
      <w:pPr>
        <w:pStyle w:val="ListParagraph"/>
        <w:numPr>
          <w:ilvl w:val="0"/>
          <w:numId w:val="1"/>
        </w:numPr>
        <w:tabs>
          <w:tab w:val="left" w:pos="445"/>
        </w:tabs>
        <w:spacing w:before="1"/>
        <w:ind w:hanging="333"/>
        <w:rPr>
          <w:b/>
          <w:sz w:val="32"/>
        </w:rPr>
      </w:pPr>
      <w:r>
        <w:rPr>
          <w:b/>
          <w:sz w:val="32"/>
          <w:u w:val="thick"/>
        </w:rPr>
        <w:t>Agenda for Open</w:t>
      </w:r>
      <w:r>
        <w:rPr>
          <w:b/>
          <w:spacing w:val="-5"/>
          <w:sz w:val="32"/>
          <w:u w:val="thick"/>
        </w:rPr>
        <w:t xml:space="preserve"> </w:t>
      </w:r>
      <w:r>
        <w:rPr>
          <w:b/>
          <w:sz w:val="32"/>
          <w:u w:val="thick"/>
        </w:rPr>
        <w:t>Meeting</w:t>
      </w:r>
    </w:p>
    <w:p w14:paraId="40AB749B" w14:textId="77777777" w:rsidR="00E44075" w:rsidRDefault="00E44075">
      <w:pPr>
        <w:pStyle w:val="BodyText"/>
        <w:spacing w:before="9"/>
        <w:rPr>
          <w:b/>
          <w:i w:val="0"/>
          <w:sz w:val="19"/>
        </w:rPr>
      </w:pPr>
    </w:p>
    <w:p w14:paraId="0CA534DB" w14:textId="77777777" w:rsidR="00E44075" w:rsidRDefault="00000000">
      <w:pPr>
        <w:pStyle w:val="Heading1"/>
        <w:numPr>
          <w:ilvl w:val="1"/>
          <w:numId w:val="1"/>
        </w:numPr>
        <w:tabs>
          <w:tab w:val="left" w:pos="826"/>
        </w:tabs>
        <w:spacing w:before="56"/>
        <w:jc w:val="both"/>
      </w:pPr>
      <w:r>
        <w:t>DSMB member Conflicts of Interest</w:t>
      </w:r>
      <w:r>
        <w:rPr>
          <w:spacing w:val="-3"/>
        </w:rPr>
        <w:t xml:space="preserve"> </w:t>
      </w:r>
      <w:r>
        <w:t>(</w:t>
      </w:r>
      <w:proofErr w:type="spellStart"/>
      <w:r>
        <w:t>CoI</w:t>
      </w:r>
      <w:proofErr w:type="spellEnd"/>
      <w:r>
        <w:t>):</w:t>
      </w:r>
    </w:p>
    <w:p w14:paraId="38E9612B" w14:textId="77777777" w:rsidR="00E44075" w:rsidRDefault="00000000">
      <w:pPr>
        <w:pStyle w:val="Heading2"/>
        <w:numPr>
          <w:ilvl w:val="2"/>
          <w:numId w:val="1"/>
        </w:numPr>
        <w:tabs>
          <w:tab w:val="left" w:pos="1546"/>
        </w:tabs>
        <w:spacing w:before="135" w:line="276" w:lineRule="auto"/>
        <w:ind w:left="1545" w:right="341" w:hanging="356"/>
        <w:jc w:val="both"/>
      </w:pPr>
      <w:r>
        <w:t xml:space="preserve">Board Members to verbally confirm whether they have a financial or scientific conflict of interest which would affect their participation on the DSMB (this should be </w:t>
      </w:r>
      <w:proofErr w:type="spellStart"/>
      <w:r>
        <w:t>minuted</w:t>
      </w:r>
      <w:proofErr w:type="spellEnd"/>
      <w:r>
        <w:t xml:space="preserve">; </w:t>
      </w:r>
      <w:r>
        <w:rPr>
          <w:spacing w:val="-3"/>
        </w:rPr>
        <w:t xml:space="preserve">any </w:t>
      </w:r>
      <w:r>
        <w:t xml:space="preserve">declared </w:t>
      </w:r>
      <w:proofErr w:type="spellStart"/>
      <w:r>
        <w:t>CoI</w:t>
      </w:r>
      <w:proofErr w:type="spellEnd"/>
      <w:r>
        <w:t xml:space="preserve"> should be actioned</w:t>
      </w:r>
      <w:r>
        <w:rPr>
          <w:spacing w:val="-3"/>
        </w:rPr>
        <w:t xml:space="preserve"> </w:t>
      </w:r>
      <w:r>
        <w:t>appropriately).</w:t>
      </w:r>
    </w:p>
    <w:p w14:paraId="6C417D85" w14:textId="77777777" w:rsidR="00E44075" w:rsidRDefault="00E44075">
      <w:pPr>
        <w:pStyle w:val="BodyText"/>
        <w:rPr>
          <w:i w:val="0"/>
          <w:sz w:val="22"/>
        </w:rPr>
      </w:pPr>
    </w:p>
    <w:p w14:paraId="27793B6C" w14:textId="77777777" w:rsidR="00E44075" w:rsidRDefault="00E44075">
      <w:pPr>
        <w:pStyle w:val="BodyText"/>
        <w:spacing w:before="11"/>
        <w:rPr>
          <w:i w:val="0"/>
          <w:sz w:val="25"/>
        </w:rPr>
      </w:pPr>
    </w:p>
    <w:p w14:paraId="70E96B7C" w14:textId="77777777" w:rsidR="00E44075" w:rsidRDefault="00000000">
      <w:pPr>
        <w:pStyle w:val="ListParagraph"/>
        <w:numPr>
          <w:ilvl w:val="1"/>
          <w:numId w:val="1"/>
        </w:numPr>
        <w:tabs>
          <w:tab w:val="left" w:pos="826"/>
        </w:tabs>
        <w:spacing w:before="0"/>
        <w:jc w:val="both"/>
        <w:rPr>
          <w:b/>
        </w:rPr>
      </w:pPr>
      <w:r>
        <w:rPr>
          <w:b/>
        </w:rPr>
        <w:t>Review of minutes and recommendations from [insert last meeting</w:t>
      </w:r>
      <w:r>
        <w:rPr>
          <w:b/>
          <w:spacing w:val="-7"/>
        </w:rPr>
        <w:t xml:space="preserve"> </w:t>
      </w:r>
      <w:r>
        <w:rPr>
          <w:b/>
        </w:rPr>
        <w:t>date]</w:t>
      </w:r>
    </w:p>
    <w:p w14:paraId="45CD584D" w14:textId="77777777" w:rsidR="00E44075" w:rsidRDefault="00E44075">
      <w:pPr>
        <w:pStyle w:val="BodyText"/>
        <w:rPr>
          <w:b/>
          <w:i w:val="0"/>
          <w:sz w:val="22"/>
        </w:rPr>
      </w:pPr>
    </w:p>
    <w:p w14:paraId="71C15D4F" w14:textId="77777777" w:rsidR="00E44075" w:rsidRDefault="00E44075">
      <w:pPr>
        <w:pStyle w:val="BodyText"/>
        <w:rPr>
          <w:b/>
          <w:i w:val="0"/>
          <w:sz w:val="22"/>
        </w:rPr>
      </w:pPr>
    </w:p>
    <w:p w14:paraId="222589A6" w14:textId="77777777" w:rsidR="00E44075" w:rsidRDefault="00000000">
      <w:pPr>
        <w:pStyle w:val="ListParagraph"/>
        <w:numPr>
          <w:ilvl w:val="1"/>
          <w:numId w:val="1"/>
        </w:numPr>
        <w:tabs>
          <w:tab w:val="left" w:pos="826"/>
        </w:tabs>
        <w:spacing w:before="140"/>
        <w:jc w:val="both"/>
        <w:rPr>
          <w:b/>
        </w:rPr>
      </w:pPr>
      <w:r>
        <w:rPr>
          <w:b/>
        </w:rPr>
        <w:t>Discussion of open</w:t>
      </w:r>
      <w:r>
        <w:rPr>
          <w:b/>
          <w:spacing w:val="-3"/>
        </w:rPr>
        <w:t xml:space="preserve"> </w:t>
      </w:r>
      <w:r>
        <w:rPr>
          <w:b/>
        </w:rPr>
        <w:t>report</w:t>
      </w:r>
    </w:p>
    <w:p w14:paraId="151E7927" w14:textId="77777777" w:rsidR="00E44075" w:rsidRDefault="00000000">
      <w:pPr>
        <w:pStyle w:val="ListParagraph"/>
        <w:numPr>
          <w:ilvl w:val="2"/>
          <w:numId w:val="1"/>
        </w:numPr>
        <w:tabs>
          <w:tab w:val="left" w:pos="1553"/>
        </w:tabs>
        <w:rPr>
          <w:b/>
        </w:rPr>
      </w:pPr>
      <w:r>
        <w:rPr>
          <w:b/>
        </w:rPr>
        <w:t>Summary of trial</w:t>
      </w:r>
      <w:r>
        <w:rPr>
          <w:b/>
          <w:spacing w:val="-1"/>
        </w:rPr>
        <w:t xml:space="preserve"> </w:t>
      </w:r>
      <w:r>
        <w:rPr>
          <w:b/>
        </w:rPr>
        <w:t>progress:</w:t>
      </w:r>
    </w:p>
    <w:p w14:paraId="4D1A8A75" w14:textId="77777777" w:rsidR="00E44075" w:rsidRDefault="00000000">
      <w:pPr>
        <w:pStyle w:val="ListParagraph"/>
        <w:numPr>
          <w:ilvl w:val="3"/>
          <w:numId w:val="1"/>
        </w:numPr>
        <w:tabs>
          <w:tab w:val="left" w:pos="2274"/>
        </w:tabs>
        <w:spacing w:line="276" w:lineRule="auto"/>
        <w:ind w:right="539"/>
        <w:jc w:val="left"/>
      </w:pPr>
      <w:r>
        <w:t>Updates from the Sponsor-Investigator - include general statements about the progress of the trial (e.g., new sites, protocol changes), trial challenges, and scientific or therapeutic developments in the field that affect the</w:t>
      </w:r>
      <w:r>
        <w:rPr>
          <w:spacing w:val="-22"/>
        </w:rPr>
        <w:t xml:space="preserve"> </w:t>
      </w:r>
      <w:r>
        <w:t>research.</w:t>
      </w:r>
    </w:p>
    <w:p w14:paraId="0E3E9AAD" w14:textId="77777777" w:rsidR="00E44075" w:rsidRDefault="00000000">
      <w:pPr>
        <w:pStyle w:val="ListParagraph"/>
        <w:numPr>
          <w:ilvl w:val="3"/>
          <w:numId w:val="1"/>
        </w:numPr>
        <w:tabs>
          <w:tab w:val="left" w:pos="2273"/>
        </w:tabs>
        <w:spacing w:before="0" w:line="268" w:lineRule="exact"/>
        <w:ind w:hanging="337"/>
        <w:jc w:val="left"/>
      </w:pPr>
      <w:r>
        <w:t xml:space="preserve">Participant recruitment, </w:t>
      </w:r>
      <w:proofErr w:type="gramStart"/>
      <w:r>
        <w:t>accrual</w:t>
      </w:r>
      <w:proofErr w:type="gramEnd"/>
      <w:r>
        <w:t xml:space="preserve"> and retention</w:t>
      </w:r>
      <w:r>
        <w:rPr>
          <w:spacing w:val="-5"/>
        </w:rPr>
        <w:t xml:space="preserve"> </w:t>
      </w:r>
      <w:r>
        <w:t>rates</w:t>
      </w:r>
    </w:p>
    <w:p w14:paraId="12C08F1B" w14:textId="77777777" w:rsidR="00E44075" w:rsidRDefault="00000000">
      <w:pPr>
        <w:pStyle w:val="ListParagraph"/>
        <w:numPr>
          <w:ilvl w:val="3"/>
          <w:numId w:val="1"/>
        </w:numPr>
        <w:tabs>
          <w:tab w:val="left" w:pos="2273"/>
        </w:tabs>
        <w:spacing w:before="41"/>
        <w:ind w:hanging="387"/>
        <w:jc w:val="left"/>
      </w:pPr>
      <w:r>
        <w:t>Adherence to eligibility and exclusion</w:t>
      </w:r>
      <w:r>
        <w:rPr>
          <w:spacing w:val="-4"/>
        </w:rPr>
        <w:t xml:space="preserve"> </w:t>
      </w:r>
      <w:r>
        <w:t>criteria</w:t>
      </w:r>
    </w:p>
    <w:p w14:paraId="003EB164" w14:textId="77777777" w:rsidR="00E44075" w:rsidRDefault="00000000">
      <w:pPr>
        <w:pStyle w:val="ListParagraph"/>
        <w:numPr>
          <w:ilvl w:val="3"/>
          <w:numId w:val="1"/>
        </w:numPr>
        <w:tabs>
          <w:tab w:val="left" w:pos="2273"/>
        </w:tabs>
        <w:spacing w:before="41"/>
        <w:ind w:hanging="388"/>
        <w:jc w:val="left"/>
      </w:pPr>
      <w:r>
        <w:t>Key protocol</w:t>
      </w:r>
      <w:r>
        <w:rPr>
          <w:spacing w:val="-2"/>
        </w:rPr>
        <w:t xml:space="preserve"> </w:t>
      </w:r>
      <w:r>
        <w:t>deviations</w:t>
      </w:r>
    </w:p>
    <w:p w14:paraId="0027EDBF" w14:textId="77777777" w:rsidR="00E44075" w:rsidRDefault="00000000">
      <w:pPr>
        <w:pStyle w:val="ListParagraph"/>
        <w:numPr>
          <w:ilvl w:val="4"/>
          <w:numId w:val="1"/>
        </w:numPr>
        <w:tabs>
          <w:tab w:val="left" w:pos="2993"/>
        </w:tabs>
        <w:spacing w:before="38" w:line="276" w:lineRule="auto"/>
        <w:ind w:right="754"/>
      </w:pPr>
      <w:r>
        <w:t>Protocol deviations that exclude a participant from the per-protocol analysis*</w:t>
      </w:r>
    </w:p>
    <w:p w14:paraId="16D87682" w14:textId="77777777" w:rsidR="00E44075" w:rsidRDefault="00000000">
      <w:pPr>
        <w:pStyle w:val="ListParagraph"/>
        <w:numPr>
          <w:ilvl w:val="4"/>
          <w:numId w:val="1"/>
        </w:numPr>
        <w:tabs>
          <w:tab w:val="left" w:pos="2992"/>
          <w:tab w:val="left" w:pos="2993"/>
        </w:tabs>
        <w:spacing w:before="2" w:line="273" w:lineRule="auto"/>
        <w:ind w:right="233" w:hanging="360"/>
        <w:rPr>
          <w:sz w:val="20"/>
        </w:rPr>
      </w:pPr>
      <w:r>
        <w:t xml:space="preserve">Serious breaches** </w:t>
      </w:r>
      <w:r>
        <w:rPr>
          <w:sz w:val="20"/>
        </w:rPr>
        <w:t>(</w:t>
      </w:r>
      <w:proofErr w:type="gramStart"/>
      <w:r>
        <w:rPr>
          <w:i/>
          <w:sz w:val="20"/>
        </w:rPr>
        <w:t>i.e.</w:t>
      </w:r>
      <w:proofErr w:type="gramEnd"/>
      <w:r>
        <w:rPr>
          <w:i/>
          <w:sz w:val="20"/>
        </w:rPr>
        <w:t xml:space="preserve"> significantly affect or have the potential to significantly affect participant protection or the reliability of trial</w:t>
      </w:r>
      <w:r>
        <w:rPr>
          <w:i/>
          <w:spacing w:val="-7"/>
          <w:sz w:val="20"/>
        </w:rPr>
        <w:t xml:space="preserve"> </w:t>
      </w:r>
      <w:r>
        <w:rPr>
          <w:i/>
          <w:sz w:val="20"/>
        </w:rPr>
        <w:t>results</w:t>
      </w:r>
      <w:r>
        <w:rPr>
          <w:sz w:val="20"/>
        </w:rPr>
        <w:t>)</w:t>
      </w:r>
    </w:p>
    <w:p w14:paraId="09470AF8" w14:textId="77777777" w:rsidR="00E44075" w:rsidRDefault="00E44075">
      <w:pPr>
        <w:pStyle w:val="BodyText"/>
        <w:rPr>
          <w:i w:val="0"/>
        </w:rPr>
      </w:pPr>
    </w:p>
    <w:p w14:paraId="057C9150" w14:textId="77777777" w:rsidR="00E44075" w:rsidRDefault="00E44075">
      <w:pPr>
        <w:pStyle w:val="BodyText"/>
        <w:spacing w:before="3"/>
        <w:rPr>
          <w:i w:val="0"/>
          <w:sz w:val="15"/>
        </w:rPr>
      </w:pPr>
    </w:p>
    <w:p w14:paraId="16DF5F19" w14:textId="77777777" w:rsidR="00E44075" w:rsidRDefault="00000000">
      <w:pPr>
        <w:pStyle w:val="BodyText"/>
        <w:spacing w:line="276" w:lineRule="auto"/>
        <w:ind w:left="964" w:hanging="12"/>
      </w:pPr>
      <w:r>
        <w:t xml:space="preserve">* Researchers should indicate in the analysis plan section of the protocol which protocol deviations would exclude a participant from the per-protocol analysis (PPA). Examples of these could be: participant deemed ineligible, investigational product non-compliance (e.g. </w:t>
      </w:r>
      <w:proofErr w:type="gramStart"/>
      <w:r>
        <w:t>‘ x</w:t>
      </w:r>
      <w:proofErr w:type="gramEnd"/>
      <w:r>
        <w:t>’ missed doses or % of missed dose), participant dispensed incorrect treatment arm, use of certain prohibited medications, ‘x’ visits outside permissible visit windows). During the trial, there may be uncertainty regarding the inclusion in the PPA of other deviations</w:t>
      </w:r>
    </w:p>
    <w:p w14:paraId="124FEE20" w14:textId="77777777" w:rsidR="00E44075" w:rsidRDefault="00E44075">
      <w:pPr>
        <w:spacing w:line="276" w:lineRule="auto"/>
        <w:sectPr w:rsidR="00E44075">
          <w:footerReference w:type="default" r:id="rId7"/>
          <w:type w:val="continuous"/>
          <w:pgSz w:w="11910" w:h="16840"/>
          <w:pgMar w:top="1100" w:right="1060" w:bottom="1740" w:left="1020" w:header="720" w:footer="1555" w:gutter="0"/>
          <w:pgNumType w:start="1"/>
          <w:cols w:space="720"/>
        </w:sectPr>
      </w:pPr>
    </w:p>
    <w:p w14:paraId="1F6EF575" w14:textId="77777777" w:rsidR="00E44075" w:rsidRDefault="00000000">
      <w:pPr>
        <w:pStyle w:val="BodyText"/>
        <w:spacing w:before="36" w:line="276" w:lineRule="auto"/>
        <w:ind w:left="964" w:right="157"/>
      </w:pPr>
      <w:r>
        <w:lastRenderedPageBreak/>
        <w:t>not already specified in the protocol; in such cases the decision to include/exclude the participant from the analysis must be made (and documented) before any analyses are commenced. Ideally, the decision around exclusion from the PPA is made by an independent committee.</w:t>
      </w:r>
    </w:p>
    <w:p w14:paraId="7ECB5F80" w14:textId="77777777" w:rsidR="00E44075" w:rsidRDefault="00000000">
      <w:pPr>
        <w:pStyle w:val="BodyText"/>
        <w:spacing w:line="273" w:lineRule="auto"/>
        <w:ind w:left="964" w:right="337" w:hanging="12"/>
      </w:pPr>
      <w:r>
        <w:t>Note that protocol deviations requiring exclusion from the PPA do not need to be reported to HREC unless they fit the definition of a Serious Breach.</w:t>
      </w:r>
    </w:p>
    <w:p w14:paraId="5B1BA749" w14:textId="77777777" w:rsidR="00E44075" w:rsidRDefault="00E44075">
      <w:pPr>
        <w:pStyle w:val="BodyText"/>
        <w:spacing w:before="11"/>
        <w:rPr>
          <w:sz w:val="16"/>
        </w:rPr>
      </w:pPr>
    </w:p>
    <w:p w14:paraId="4EED8A0A" w14:textId="77777777" w:rsidR="00E44075" w:rsidRDefault="00000000">
      <w:pPr>
        <w:pStyle w:val="BodyText"/>
        <w:spacing w:line="276" w:lineRule="auto"/>
        <w:ind w:left="964" w:right="136"/>
      </w:pPr>
      <w:r>
        <w:t xml:space="preserve">** In 2018, NHMRC adopted ICH GCP guidance aimed at </w:t>
      </w:r>
      <w:proofErr w:type="gramStart"/>
      <w:r>
        <w:t>streamline</w:t>
      </w:r>
      <w:proofErr w:type="gramEnd"/>
      <w:r>
        <w:t xml:space="preserve"> the reporting of deviations to reviewing bodies. The term ‘deviation’ is now used to describe any breach, divergence or departure from the requirements of Good Clinical Practice or the clinical trial protocol, whether minor or major (note that the term ‘violation’ has been widely to indicate major </w:t>
      </w:r>
      <w:proofErr w:type="gramStart"/>
      <w:r>
        <w:t>deviations</w:t>
      </w:r>
      <w:proofErr w:type="gramEnd"/>
      <w:r>
        <w:t xml:space="preserve"> but this term is no longer recommended).</w:t>
      </w:r>
    </w:p>
    <w:p w14:paraId="09D57867" w14:textId="77777777" w:rsidR="00E44075" w:rsidRDefault="00000000">
      <w:pPr>
        <w:spacing w:before="1" w:line="276" w:lineRule="auto"/>
        <w:ind w:left="964" w:right="115"/>
        <w:rPr>
          <w:i/>
          <w:sz w:val="20"/>
        </w:rPr>
      </w:pPr>
      <w:r>
        <w:rPr>
          <w:i/>
          <w:sz w:val="20"/>
        </w:rPr>
        <w:t>Although all protocol deviations should be captured in the database, only a small sub-set of these deviations should now be reported to reviewing bodes (</w:t>
      </w:r>
      <w:proofErr w:type="gramStart"/>
      <w:r>
        <w:rPr>
          <w:i/>
          <w:sz w:val="20"/>
        </w:rPr>
        <w:t>i.e.</w:t>
      </w:r>
      <w:proofErr w:type="gramEnd"/>
      <w:r>
        <w:rPr>
          <w:i/>
          <w:sz w:val="20"/>
        </w:rPr>
        <w:t xml:space="preserve"> those significantly affect or have the potential to significantly affect human subject protection or reliability of trial results). These deviations are termed these Serious Breaches. </w:t>
      </w:r>
      <w:r>
        <w:rPr>
          <w:sz w:val="20"/>
        </w:rPr>
        <w:t xml:space="preserve">“Reporting of Serious Breaches of Good Clinical Practice (GCP) or the Protocol for Trials Involving Therapeutic Goods” (EH59, November 2018) </w:t>
      </w:r>
      <w:r>
        <w:rPr>
          <w:color w:val="1F487C"/>
          <w:sz w:val="20"/>
        </w:rPr>
        <w:t xml:space="preserve">available at </w:t>
      </w:r>
      <w:r>
        <w:rPr>
          <w:i/>
          <w:color w:val="0562C1"/>
          <w:sz w:val="20"/>
          <w:u w:val="single" w:color="0562C1"/>
        </w:rPr>
        <w:t>https://nhmrc.gov.au/about-</w:t>
      </w:r>
      <w:r>
        <w:rPr>
          <w:i/>
          <w:color w:val="0562C1"/>
          <w:sz w:val="20"/>
        </w:rPr>
        <w:t xml:space="preserve"> </w:t>
      </w:r>
      <w:r>
        <w:rPr>
          <w:i/>
          <w:color w:val="0562C1"/>
          <w:sz w:val="20"/>
          <w:u w:val="single" w:color="0562C1"/>
        </w:rPr>
        <w:t>us/publications/safety-monitoring-and-reporting-clinical-trials-involving-therapeutic-goods#block-views-</w:t>
      </w:r>
      <w:r>
        <w:rPr>
          <w:i/>
          <w:color w:val="0562C1"/>
          <w:sz w:val="20"/>
        </w:rPr>
        <w:t xml:space="preserve"> </w:t>
      </w:r>
      <w:r>
        <w:rPr>
          <w:i/>
          <w:color w:val="0562C1"/>
          <w:sz w:val="20"/>
          <w:u w:val="single" w:color="0562C1"/>
        </w:rPr>
        <w:t>block-file-attachments-content-block-1</w:t>
      </w:r>
    </w:p>
    <w:p w14:paraId="5D78C7EE" w14:textId="77777777" w:rsidR="00E44075" w:rsidRDefault="00E44075">
      <w:pPr>
        <w:pStyle w:val="BodyText"/>
        <w:spacing w:before="6"/>
        <w:rPr>
          <w:sz w:val="11"/>
        </w:rPr>
      </w:pPr>
    </w:p>
    <w:p w14:paraId="7D9ADE5B" w14:textId="77777777" w:rsidR="00E44075" w:rsidRDefault="00000000">
      <w:pPr>
        <w:pStyle w:val="Heading1"/>
        <w:numPr>
          <w:ilvl w:val="2"/>
          <w:numId w:val="1"/>
        </w:numPr>
        <w:tabs>
          <w:tab w:val="left" w:pos="1553"/>
        </w:tabs>
        <w:spacing w:before="56"/>
      </w:pPr>
      <w:r>
        <w:t>Efficacy data (where</w:t>
      </w:r>
      <w:r>
        <w:rPr>
          <w:spacing w:val="-4"/>
        </w:rPr>
        <w:t xml:space="preserve"> </w:t>
      </w:r>
      <w:r>
        <w:t>appropriate)</w:t>
      </w:r>
    </w:p>
    <w:p w14:paraId="395154A7" w14:textId="77777777" w:rsidR="00E44075" w:rsidRDefault="00000000">
      <w:pPr>
        <w:pStyle w:val="ListParagraph"/>
        <w:numPr>
          <w:ilvl w:val="2"/>
          <w:numId w:val="1"/>
        </w:numPr>
        <w:tabs>
          <w:tab w:val="left" w:pos="1552"/>
          <w:tab w:val="left" w:pos="1553"/>
        </w:tabs>
        <w:rPr>
          <w:b/>
        </w:rPr>
      </w:pPr>
      <w:r>
        <w:rPr>
          <w:b/>
        </w:rPr>
        <w:t>Safety events</w:t>
      </w:r>
    </w:p>
    <w:p w14:paraId="00294D6F" w14:textId="77777777" w:rsidR="00E44075" w:rsidRDefault="00E44075">
      <w:pPr>
        <w:pStyle w:val="BodyText"/>
        <w:rPr>
          <w:b/>
          <w:i w:val="0"/>
          <w:sz w:val="22"/>
        </w:rPr>
      </w:pPr>
    </w:p>
    <w:p w14:paraId="4B8C48BB" w14:textId="77777777" w:rsidR="00E44075" w:rsidRDefault="00E44075">
      <w:pPr>
        <w:pStyle w:val="BodyText"/>
        <w:rPr>
          <w:b/>
          <w:i w:val="0"/>
          <w:sz w:val="22"/>
        </w:rPr>
      </w:pPr>
    </w:p>
    <w:p w14:paraId="5FCF0A9F" w14:textId="77777777" w:rsidR="00E44075" w:rsidRDefault="00E44075">
      <w:pPr>
        <w:pStyle w:val="BodyText"/>
        <w:rPr>
          <w:b/>
          <w:i w:val="0"/>
          <w:sz w:val="22"/>
        </w:rPr>
      </w:pPr>
    </w:p>
    <w:p w14:paraId="24D75213" w14:textId="77777777" w:rsidR="00E44075" w:rsidRDefault="00000000">
      <w:pPr>
        <w:pStyle w:val="ListParagraph"/>
        <w:numPr>
          <w:ilvl w:val="0"/>
          <w:numId w:val="1"/>
        </w:numPr>
        <w:tabs>
          <w:tab w:val="left" w:pos="445"/>
        </w:tabs>
        <w:spacing w:before="172"/>
        <w:ind w:hanging="333"/>
        <w:rPr>
          <w:i/>
        </w:rPr>
      </w:pPr>
      <w:r>
        <w:rPr>
          <w:b/>
          <w:sz w:val="32"/>
          <w:u w:val="thick"/>
        </w:rPr>
        <w:t>Agenda for Closed Meeting</w:t>
      </w:r>
      <w:r>
        <w:rPr>
          <w:b/>
          <w:sz w:val="32"/>
        </w:rPr>
        <w:t xml:space="preserve"> </w:t>
      </w:r>
      <w:r>
        <w:rPr>
          <w:i/>
        </w:rPr>
        <w:t>(where</w:t>
      </w:r>
      <w:r>
        <w:rPr>
          <w:i/>
          <w:spacing w:val="-4"/>
        </w:rPr>
        <w:t xml:space="preserve"> </w:t>
      </w:r>
      <w:r>
        <w:rPr>
          <w:i/>
        </w:rPr>
        <w:t>applicable)</w:t>
      </w:r>
    </w:p>
    <w:p w14:paraId="73747459" w14:textId="77777777" w:rsidR="00E44075" w:rsidRDefault="00E44075">
      <w:pPr>
        <w:pStyle w:val="BodyText"/>
        <w:spacing w:before="11"/>
        <w:rPr>
          <w:sz w:val="9"/>
        </w:rPr>
      </w:pPr>
    </w:p>
    <w:p w14:paraId="55A0652E" w14:textId="77777777" w:rsidR="00E44075" w:rsidRDefault="00000000">
      <w:pPr>
        <w:spacing w:before="56"/>
        <w:ind w:left="470"/>
        <w:rPr>
          <w:i/>
        </w:rPr>
      </w:pPr>
      <w:r>
        <w:rPr>
          <w:b/>
        </w:rPr>
        <w:t xml:space="preserve">Attendees: </w:t>
      </w:r>
      <w:r>
        <w:rPr>
          <w:i/>
          <w:color w:val="6F2F9F"/>
        </w:rPr>
        <w:t>List</w:t>
      </w:r>
    </w:p>
    <w:p w14:paraId="05567074" w14:textId="77777777" w:rsidR="00E44075" w:rsidRDefault="00000000">
      <w:pPr>
        <w:pStyle w:val="ListParagraph"/>
        <w:numPr>
          <w:ilvl w:val="1"/>
          <w:numId w:val="1"/>
        </w:numPr>
        <w:tabs>
          <w:tab w:val="left" w:pos="826"/>
        </w:tabs>
        <w:spacing w:before="121"/>
        <w:rPr>
          <w:b/>
        </w:rPr>
      </w:pPr>
      <w:r>
        <w:rPr>
          <w:b/>
        </w:rPr>
        <w:t>Review of minutes and recommendations from [</w:t>
      </w:r>
      <w:r>
        <w:rPr>
          <w:i/>
          <w:color w:val="6F2F9F"/>
        </w:rPr>
        <w:t>insert last meeting</w:t>
      </w:r>
      <w:r>
        <w:rPr>
          <w:i/>
          <w:color w:val="6F2F9F"/>
          <w:spacing w:val="-8"/>
        </w:rPr>
        <w:t xml:space="preserve"> </w:t>
      </w:r>
      <w:r>
        <w:rPr>
          <w:i/>
          <w:color w:val="6F2F9F"/>
        </w:rPr>
        <w:t>date</w:t>
      </w:r>
      <w:r>
        <w:rPr>
          <w:b/>
        </w:rPr>
        <w:t>]</w:t>
      </w:r>
    </w:p>
    <w:p w14:paraId="6024C457" w14:textId="77777777" w:rsidR="00E44075" w:rsidRDefault="00000000">
      <w:pPr>
        <w:pStyle w:val="Heading1"/>
        <w:numPr>
          <w:ilvl w:val="1"/>
          <w:numId w:val="1"/>
        </w:numPr>
        <w:tabs>
          <w:tab w:val="left" w:pos="826"/>
        </w:tabs>
        <w:spacing w:before="134"/>
      </w:pPr>
      <w:r>
        <w:t>Discussion of closed</w:t>
      </w:r>
      <w:r>
        <w:rPr>
          <w:spacing w:val="-3"/>
        </w:rPr>
        <w:t xml:space="preserve"> </w:t>
      </w:r>
      <w:r>
        <w:t>report</w:t>
      </w:r>
    </w:p>
    <w:p w14:paraId="7D8D3244" w14:textId="77777777" w:rsidR="00E44075" w:rsidRDefault="00000000">
      <w:pPr>
        <w:pStyle w:val="ListParagraph"/>
        <w:numPr>
          <w:ilvl w:val="1"/>
          <w:numId w:val="1"/>
        </w:numPr>
        <w:tabs>
          <w:tab w:val="left" w:pos="826"/>
        </w:tabs>
        <w:rPr>
          <w:b/>
        </w:rPr>
      </w:pPr>
      <w:r>
        <w:rPr>
          <w:b/>
        </w:rPr>
        <w:t>Discussion of Risk/Benefit ratio (where</w:t>
      </w:r>
      <w:r>
        <w:rPr>
          <w:b/>
          <w:spacing w:val="-8"/>
        </w:rPr>
        <w:t xml:space="preserve"> </w:t>
      </w:r>
      <w:r>
        <w:rPr>
          <w:b/>
        </w:rPr>
        <w:t>appropriate)</w:t>
      </w:r>
    </w:p>
    <w:p w14:paraId="2CCE53CA" w14:textId="77777777" w:rsidR="00E44075" w:rsidRDefault="00000000">
      <w:pPr>
        <w:pStyle w:val="ListParagraph"/>
        <w:numPr>
          <w:ilvl w:val="1"/>
          <w:numId w:val="1"/>
        </w:numPr>
        <w:tabs>
          <w:tab w:val="left" w:pos="826"/>
        </w:tabs>
        <w:spacing w:before="132"/>
        <w:rPr>
          <w:b/>
        </w:rPr>
      </w:pPr>
      <w:r>
        <w:rPr>
          <w:b/>
        </w:rPr>
        <w:t>DSMB</w:t>
      </w:r>
      <w:r>
        <w:rPr>
          <w:b/>
          <w:spacing w:val="-2"/>
        </w:rPr>
        <w:t xml:space="preserve"> </w:t>
      </w:r>
      <w:r>
        <w:rPr>
          <w:b/>
        </w:rPr>
        <w:t>Recommendations</w:t>
      </w:r>
    </w:p>
    <w:p w14:paraId="0271343E" w14:textId="77777777" w:rsidR="00E44075" w:rsidRDefault="00000000">
      <w:pPr>
        <w:pStyle w:val="ListParagraph"/>
        <w:numPr>
          <w:ilvl w:val="1"/>
          <w:numId w:val="1"/>
        </w:numPr>
        <w:tabs>
          <w:tab w:val="left" w:pos="826"/>
        </w:tabs>
        <w:rPr>
          <w:b/>
        </w:rPr>
      </w:pPr>
      <w:r>
        <w:rPr>
          <w:b/>
        </w:rPr>
        <w:t>Timing of the next DSMB</w:t>
      </w:r>
      <w:r>
        <w:rPr>
          <w:b/>
          <w:spacing w:val="-3"/>
        </w:rPr>
        <w:t xml:space="preserve"> </w:t>
      </w:r>
      <w:r>
        <w:rPr>
          <w:b/>
        </w:rPr>
        <w:t>meeting(s)</w:t>
      </w:r>
    </w:p>
    <w:sectPr w:rsidR="00E44075">
      <w:pgSz w:w="11910" w:h="16840"/>
      <w:pgMar w:top="1080" w:right="1060" w:bottom="1740" w:left="1020" w:header="0" w:footer="1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6CA2" w14:textId="77777777" w:rsidR="00747D0F" w:rsidRDefault="00747D0F">
      <w:r>
        <w:separator/>
      </w:r>
    </w:p>
  </w:endnote>
  <w:endnote w:type="continuationSeparator" w:id="0">
    <w:p w14:paraId="3DF52769" w14:textId="77777777" w:rsidR="00747D0F" w:rsidRDefault="0074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EB48" w14:textId="3A0E09CC" w:rsidR="00E44075" w:rsidRDefault="00E43F5A">
    <w:pPr>
      <w:pStyle w:val="BodyText"/>
      <w:spacing w:line="14" w:lineRule="auto"/>
      <w:rPr>
        <w:i w:val="0"/>
      </w:rPr>
    </w:pPr>
    <w:r>
      <w:pict w14:anchorId="726666F3">
        <v:shapetype id="_x0000_t202" coordsize="21600,21600" o:spt="202" path="m,l,21600r21600,l21600,xe">
          <v:stroke joinstyle="miter"/>
          <v:path gradientshapeok="t" o:connecttype="rect"/>
        </v:shapetype>
        <v:shape id="_x0000_s1026" type="#_x0000_t202" style="position:absolute;margin-left:55.65pt;margin-top:767.35pt;width:299.1pt;height:26.5pt;z-index:-251755520;mso-position-horizontal-relative:page;mso-position-vertical-relative:page" filled="f" stroked="f">
          <v:textbox inset="0,0,0,0">
            <w:txbxContent>
              <w:p w14:paraId="583DAFF3" w14:textId="77777777" w:rsidR="00E44075" w:rsidRDefault="00000000">
                <w:pPr>
                  <w:spacing w:line="245" w:lineRule="exact"/>
                  <w:ind w:left="20"/>
                </w:pPr>
                <w:r>
                  <w:t>DSMB Meeting Agenda for &lt;</w:t>
                </w:r>
                <w:r>
                  <w:rPr>
                    <w:b/>
                  </w:rPr>
                  <w:t>insert trial</w:t>
                </w:r>
                <w:r>
                  <w:t>&gt;</w:t>
                </w:r>
              </w:p>
              <w:p w14:paraId="5193D757" w14:textId="476AD04B" w:rsidR="00E44075" w:rsidRDefault="00000000">
                <w:pPr>
                  <w:ind w:left="20"/>
                </w:pPr>
                <w:r>
                  <w:t>[</w:t>
                </w:r>
                <w:r>
                  <w:rPr>
                    <w:i/>
                  </w:rPr>
                  <w:t>Based on MCTC</w:t>
                </w:r>
                <w:r w:rsidR="00E43F5A">
                  <w:rPr>
                    <w:i/>
                  </w:rPr>
                  <w:t>052</w:t>
                </w:r>
                <w:r>
                  <w:rPr>
                    <w:i/>
                  </w:rPr>
                  <w:t xml:space="preserve"> </w:t>
                </w:r>
                <w:r w:rsidR="00E43F5A">
                  <w:rPr>
                    <w:i/>
                  </w:rPr>
                  <w:t>document</w:t>
                </w:r>
                <w:r>
                  <w:rPr>
                    <w:i/>
                  </w:rPr>
                  <w:t xml:space="preserve"> version</w:t>
                </w:r>
                <w:r w:rsidR="00E43F5A">
                  <w:rPr>
                    <w:i/>
                  </w:rPr>
                  <w:t xml:space="preserve"> 3.0,</w:t>
                </w:r>
                <w:r>
                  <w:rPr>
                    <w:i/>
                  </w:rPr>
                  <w:t xml:space="preserve"> 30 November 2018</w:t>
                </w:r>
                <w:r>
                  <w:t>]</w:t>
                </w:r>
              </w:p>
            </w:txbxContent>
          </v:textbox>
          <w10:wrap anchorx="page" anchory="page"/>
        </v:shape>
      </w:pict>
    </w:r>
    <w:r w:rsidR="00000000">
      <w:rPr>
        <w:noProof/>
      </w:rPr>
      <w:drawing>
        <wp:anchor distT="0" distB="0" distL="0" distR="0" simplePos="0" relativeHeight="251558912" behindDoc="1" locked="0" layoutInCell="1" allowOverlap="1" wp14:anchorId="2D291ED1" wp14:editId="044AFDC5">
          <wp:simplePos x="0" y="0"/>
          <wp:positionH relativeFrom="page">
            <wp:posOffset>5546090</wp:posOffset>
          </wp:positionH>
          <wp:positionV relativeFrom="page">
            <wp:posOffset>9549129</wp:posOffset>
          </wp:positionV>
          <wp:extent cx="904873" cy="314312"/>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904873" cy="314312"/>
                  </a:xfrm>
                  <a:prstGeom prst="rect">
                    <a:avLst/>
                  </a:prstGeom>
                </pic:spPr>
              </pic:pic>
            </a:graphicData>
          </a:graphic>
        </wp:anchor>
      </w:drawing>
    </w:r>
    <w:r w:rsidR="00000000">
      <w:pict w14:anchorId="3B84D82F">
        <v:line id="_x0000_s1027" style="position:absolute;z-index:-251756544;mso-position-horizontal-relative:page;mso-position-vertical-relative:page" from="56.65pt,750.55pt" to="533.3pt,750.55pt" strokeweight=".25292mm">
          <w10:wrap anchorx="page" anchory="page"/>
        </v:line>
      </w:pict>
    </w:r>
    <w:r w:rsidR="00000000">
      <w:pict w14:anchorId="5D887D59">
        <v:shape id="_x0000_s1025" type="#_x0000_t202" style="position:absolute;margin-left:488.25pt;margin-top:794.1pt;width:51.4pt;height:13.05pt;z-index:-251754496;mso-position-horizontal-relative:page;mso-position-vertical-relative:page" filled="f" stroked="f">
          <v:textbox inset="0,0,0,0">
            <w:txbxContent>
              <w:p w14:paraId="68EED719" w14:textId="77777777" w:rsidR="00E44075" w:rsidRDefault="00000000">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4623" w14:textId="77777777" w:rsidR="00747D0F" w:rsidRDefault="00747D0F">
      <w:r>
        <w:separator/>
      </w:r>
    </w:p>
  </w:footnote>
  <w:footnote w:type="continuationSeparator" w:id="0">
    <w:p w14:paraId="44C4D8BC" w14:textId="77777777" w:rsidR="00747D0F" w:rsidRDefault="0074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C20A5"/>
    <w:multiLevelType w:val="hybridMultilevel"/>
    <w:tmpl w:val="12383FC4"/>
    <w:lvl w:ilvl="0" w:tplc="BB380A18">
      <w:start w:val="1"/>
      <w:numFmt w:val="decimal"/>
      <w:lvlText w:val="%1)"/>
      <w:lvlJc w:val="left"/>
      <w:pPr>
        <w:ind w:left="444" w:hanging="332"/>
        <w:jc w:val="left"/>
      </w:pPr>
      <w:rPr>
        <w:rFonts w:ascii="Calibri" w:eastAsia="Calibri" w:hAnsi="Calibri" w:cs="Calibri" w:hint="default"/>
        <w:b/>
        <w:bCs/>
        <w:spacing w:val="-1"/>
        <w:w w:val="99"/>
        <w:sz w:val="32"/>
        <w:szCs w:val="32"/>
        <w:u w:val="thick" w:color="000000"/>
        <w:lang w:val="en-AU" w:eastAsia="en-AU" w:bidi="en-AU"/>
      </w:rPr>
    </w:lvl>
    <w:lvl w:ilvl="1" w:tplc="761C7870">
      <w:start w:val="1"/>
      <w:numFmt w:val="decimal"/>
      <w:lvlText w:val="%2."/>
      <w:lvlJc w:val="left"/>
      <w:pPr>
        <w:ind w:left="825" w:hanging="356"/>
        <w:jc w:val="left"/>
      </w:pPr>
      <w:rPr>
        <w:rFonts w:ascii="Calibri" w:eastAsia="Calibri" w:hAnsi="Calibri" w:cs="Calibri" w:hint="default"/>
        <w:b/>
        <w:bCs/>
        <w:w w:val="100"/>
        <w:sz w:val="22"/>
        <w:szCs w:val="22"/>
        <w:lang w:val="en-AU" w:eastAsia="en-AU" w:bidi="en-AU"/>
      </w:rPr>
    </w:lvl>
    <w:lvl w:ilvl="2" w:tplc="F59050E4">
      <w:start w:val="1"/>
      <w:numFmt w:val="lowerLetter"/>
      <w:lvlText w:val="%3."/>
      <w:lvlJc w:val="left"/>
      <w:pPr>
        <w:ind w:left="1552" w:hanging="361"/>
        <w:jc w:val="left"/>
      </w:pPr>
      <w:rPr>
        <w:rFonts w:hint="default"/>
        <w:b/>
        <w:bCs/>
        <w:spacing w:val="-1"/>
        <w:w w:val="100"/>
        <w:lang w:val="en-AU" w:eastAsia="en-AU" w:bidi="en-AU"/>
      </w:rPr>
    </w:lvl>
    <w:lvl w:ilvl="3" w:tplc="9BF8E04E">
      <w:start w:val="1"/>
      <w:numFmt w:val="lowerRoman"/>
      <w:lvlText w:val="%4."/>
      <w:lvlJc w:val="left"/>
      <w:pPr>
        <w:ind w:left="2272" w:hanging="286"/>
        <w:jc w:val="right"/>
      </w:pPr>
      <w:rPr>
        <w:rFonts w:ascii="Calibri" w:eastAsia="Calibri" w:hAnsi="Calibri" w:cs="Calibri" w:hint="default"/>
        <w:spacing w:val="-1"/>
        <w:w w:val="100"/>
        <w:sz w:val="22"/>
        <w:szCs w:val="22"/>
        <w:lang w:val="en-AU" w:eastAsia="en-AU" w:bidi="en-AU"/>
      </w:rPr>
    </w:lvl>
    <w:lvl w:ilvl="4" w:tplc="B97EC33E">
      <w:start w:val="1"/>
      <w:numFmt w:val="decimal"/>
      <w:lvlText w:val="%5."/>
      <w:lvlJc w:val="left"/>
      <w:pPr>
        <w:ind w:left="2992" w:hanging="361"/>
        <w:jc w:val="left"/>
      </w:pPr>
      <w:rPr>
        <w:rFonts w:hint="default"/>
        <w:w w:val="100"/>
        <w:lang w:val="en-AU" w:eastAsia="en-AU" w:bidi="en-AU"/>
      </w:rPr>
    </w:lvl>
    <w:lvl w:ilvl="5" w:tplc="C8307166">
      <w:numFmt w:val="bullet"/>
      <w:lvlText w:val="•"/>
      <w:lvlJc w:val="left"/>
      <w:pPr>
        <w:ind w:left="3000" w:hanging="361"/>
      </w:pPr>
      <w:rPr>
        <w:rFonts w:hint="default"/>
        <w:lang w:val="en-AU" w:eastAsia="en-AU" w:bidi="en-AU"/>
      </w:rPr>
    </w:lvl>
    <w:lvl w:ilvl="6" w:tplc="BDB43316">
      <w:numFmt w:val="bullet"/>
      <w:lvlText w:val="•"/>
      <w:lvlJc w:val="left"/>
      <w:pPr>
        <w:ind w:left="4365" w:hanging="361"/>
      </w:pPr>
      <w:rPr>
        <w:rFonts w:hint="default"/>
        <w:lang w:val="en-AU" w:eastAsia="en-AU" w:bidi="en-AU"/>
      </w:rPr>
    </w:lvl>
    <w:lvl w:ilvl="7" w:tplc="2AAA159A">
      <w:numFmt w:val="bullet"/>
      <w:lvlText w:val="•"/>
      <w:lvlJc w:val="left"/>
      <w:pPr>
        <w:ind w:left="5730" w:hanging="361"/>
      </w:pPr>
      <w:rPr>
        <w:rFonts w:hint="default"/>
        <w:lang w:val="en-AU" w:eastAsia="en-AU" w:bidi="en-AU"/>
      </w:rPr>
    </w:lvl>
    <w:lvl w:ilvl="8" w:tplc="3E0CA0CA">
      <w:numFmt w:val="bullet"/>
      <w:lvlText w:val="•"/>
      <w:lvlJc w:val="left"/>
      <w:pPr>
        <w:ind w:left="7095" w:hanging="361"/>
      </w:pPr>
      <w:rPr>
        <w:rFonts w:hint="default"/>
        <w:lang w:val="en-AU" w:eastAsia="en-AU" w:bidi="en-AU"/>
      </w:rPr>
    </w:lvl>
  </w:abstractNum>
  <w:abstractNum w:abstractNumId="1" w15:restartNumberingAfterBreak="0">
    <w:nsid w:val="7DA337F3"/>
    <w:multiLevelType w:val="hybridMultilevel"/>
    <w:tmpl w:val="6E74B534"/>
    <w:lvl w:ilvl="0" w:tplc="296A53BC">
      <w:numFmt w:val="bullet"/>
      <w:lvlText w:val=""/>
      <w:lvlJc w:val="left"/>
      <w:pPr>
        <w:ind w:left="832" w:hanging="361"/>
      </w:pPr>
      <w:rPr>
        <w:rFonts w:ascii="Symbol" w:eastAsia="Symbol" w:hAnsi="Symbol" w:cs="Symbol" w:hint="default"/>
        <w:w w:val="100"/>
        <w:sz w:val="22"/>
        <w:szCs w:val="22"/>
        <w:lang w:val="en-AU" w:eastAsia="en-AU" w:bidi="en-AU"/>
      </w:rPr>
    </w:lvl>
    <w:lvl w:ilvl="1" w:tplc="ABDE13BA">
      <w:numFmt w:val="bullet"/>
      <w:lvlText w:val="•"/>
      <w:lvlJc w:val="left"/>
      <w:pPr>
        <w:ind w:left="1738" w:hanging="361"/>
      </w:pPr>
      <w:rPr>
        <w:rFonts w:hint="default"/>
        <w:lang w:val="en-AU" w:eastAsia="en-AU" w:bidi="en-AU"/>
      </w:rPr>
    </w:lvl>
    <w:lvl w:ilvl="2" w:tplc="4B80DD1C">
      <w:numFmt w:val="bullet"/>
      <w:lvlText w:val="•"/>
      <w:lvlJc w:val="left"/>
      <w:pPr>
        <w:ind w:left="2637" w:hanging="361"/>
      </w:pPr>
      <w:rPr>
        <w:rFonts w:hint="default"/>
        <w:lang w:val="en-AU" w:eastAsia="en-AU" w:bidi="en-AU"/>
      </w:rPr>
    </w:lvl>
    <w:lvl w:ilvl="3" w:tplc="0004EF62">
      <w:numFmt w:val="bullet"/>
      <w:lvlText w:val="•"/>
      <w:lvlJc w:val="left"/>
      <w:pPr>
        <w:ind w:left="3535" w:hanging="361"/>
      </w:pPr>
      <w:rPr>
        <w:rFonts w:hint="default"/>
        <w:lang w:val="en-AU" w:eastAsia="en-AU" w:bidi="en-AU"/>
      </w:rPr>
    </w:lvl>
    <w:lvl w:ilvl="4" w:tplc="1F86CE98">
      <w:numFmt w:val="bullet"/>
      <w:lvlText w:val="•"/>
      <w:lvlJc w:val="left"/>
      <w:pPr>
        <w:ind w:left="4434" w:hanging="361"/>
      </w:pPr>
      <w:rPr>
        <w:rFonts w:hint="default"/>
        <w:lang w:val="en-AU" w:eastAsia="en-AU" w:bidi="en-AU"/>
      </w:rPr>
    </w:lvl>
    <w:lvl w:ilvl="5" w:tplc="33FA4D58">
      <w:numFmt w:val="bullet"/>
      <w:lvlText w:val="•"/>
      <w:lvlJc w:val="left"/>
      <w:pPr>
        <w:ind w:left="5333" w:hanging="361"/>
      </w:pPr>
      <w:rPr>
        <w:rFonts w:hint="default"/>
        <w:lang w:val="en-AU" w:eastAsia="en-AU" w:bidi="en-AU"/>
      </w:rPr>
    </w:lvl>
    <w:lvl w:ilvl="6" w:tplc="7DE665B6">
      <w:numFmt w:val="bullet"/>
      <w:lvlText w:val="•"/>
      <w:lvlJc w:val="left"/>
      <w:pPr>
        <w:ind w:left="6231" w:hanging="361"/>
      </w:pPr>
      <w:rPr>
        <w:rFonts w:hint="default"/>
        <w:lang w:val="en-AU" w:eastAsia="en-AU" w:bidi="en-AU"/>
      </w:rPr>
    </w:lvl>
    <w:lvl w:ilvl="7" w:tplc="87E2907C">
      <w:numFmt w:val="bullet"/>
      <w:lvlText w:val="•"/>
      <w:lvlJc w:val="left"/>
      <w:pPr>
        <w:ind w:left="7130" w:hanging="361"/>
      </w:pPr>
      <w:rPr>
        <w:rFonts w:hint="default"/>
        <w:lang w:val="en-AU" w:eastAsia="en-AU" w:bidi="en-AU"/>
      </w:rPr>
    </w:lvl>
    <w:lvl w:ilvl="8" w:tplc="55C0F8A6">
      <w:numFmt w:val="bullet"/>
      <w:lvlText w:val="•"/>
      <w:lvlJc w:val="left"/>
      <w:pPr>
        <w:ind w:left="8029" w:hanging="361"/>
      </w:pPr>
      <w:rPr>
        <w:rFonts w:hint="default"/>
        <w:lang w:val="en-AU" w:eastAsia="en-AU" w:bidi="en-AU"/>
      </w:rPr>
    </w:lvl>
  </w:abstractNum>
  <w:num w:numId="1" w16cid:durableId="1528719226">
    <w:abstractNumId w:val="0"/>
  </w:num>
  <w:num w:numId="2" w16cid:durableId="50875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4075"/>
    <w:rsid w:val="00747D0F"/>
    <w:rsid w:val="00E43F5A"/>
    <w:rsid w:val="00E44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FAAA3"/>
  <w15:docId w15:val="{9594908B-F800-4C31-BB7F-7C853630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135"/>
      <w:ind w:left="825" w:hanging="356"/>
      <w:outlineLvl w:val="0"/>
    </w:pPr>
    <w:rPr>
      <w:b/>
      <w:bCs/>
    </w:rPr>
  </w:style>
  <w:style w:type="paragraph" w:styleId="Heading2">
    <w:name w:val="heading 2"/>
    <w:basedOn w:val="Normal"/>
    <w:uiPriority w:val="9"/>
    <w:unhideWhenUsed/>
    <w:qFormat/>
    <w:pPr>
      <w:spacing w:before="41"/>
      <w:ind w:left="2272" w:hanging="36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spacing w:before="135"/>
      <w:ind w:left="825"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3F5A"/>
    <w:pPr>
      <w:tabs>
        <w:tab w:val="center" w:pos="4513"/>
        <w:tab w:val="right" w:pos="9026"/>
      </w:tabs>
    </w:pPr>
  </w:style>
  <w:style w:type="character" w:customStyle="1" w:styleId="HeaderChar">
    <w:name w:val="Header Char"/>
    <w:basedOn w:val="DefaultParagraphFont"/>
    <w:link w:val="Header"/>
    <w:uiPriority w:val="99"/>
    <w:rsid w:val="00E43F5A"/>
    <w:rPr>
      <w:rFonts w:ascii="Calibri" w:eastAsia="Calibri" w:hAnsi="Calibri" w:cs="Calibri"/>
      <w:lang w:val="en-AU" w:eastAsia="en-AU" w:bidi="en-AU"/>
    </w:rPr>
  </w:style>
  <w:style w:type="paragraph" w:styleId="Footer">
    <w:name w:val="footer"/>
    <w:basedOn w:val="Normal"/>
    <w:link w:val="FooterChar"/>
    <w:uiPriority w:val="99"/>
    <w:unhideWhenUsed/>
    <w:rsid w:val="00E43F5A"/>
    <w:pPr>
      <w:tabs>
        <w:tab w:val="center" w:pos="4513"/>
        <w:tab w:val="right" w:pos="9026"/>
      </w:tabs>
    </w:pPr>
  </w:style>
  <w:style w:type="character" w:customStyle="1" w:styleId="FooterChar">
    <w:name w:val="Footer Char"/>
    <w:basedOn w:val="DefaultParagraphFont"/>
    <w:link w:val="Footer"/>
    <w:uiPriority w:val="99"/>
    <w:rsid w:val="00E43F5A"/>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SLHN &amp; SWSLHN</dc:creator>
  <cp:lastModifiedBy>Iona Walton</cp:lastModifiedBy>
  <cp:revision>2</cp:revision>
  <dcterms:created xsi:type="dcterms:W3CDTF">2023-01-24T23:08:00Z</dcterms:created>
  <dcterms:modified xsi:type="dcterms:W3CDTF">2023-01-24T23:10:00Z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20 for Word</vt:lpwstr>
  </property>
  <property fmtid="{D5CDD505-2E9C-101B-9397-08002B2CF9AE}" pid="4" name="LastSaved">
    <vt:filetime>2023-01-24T00:00:00Z</vt:filetime>
  </property>
</Properties>
</file>